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9273" w14:textId="6DB3CC0B" w:rsidR="00740F6F" w:rsidRDefault="00282DE3">
      <w:pPr>
        <w:rPr>
          <w:sz w:val="2"/>
          <w:szCs w:val="2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00925C" wp14:editId="52359C23">
                <wp:simplePos x="0" y="0"/>
                <wp:positionH relativeFrom="page">
                  <wp:posOffset>575945</wp:posOffset>
                </wp:positionH>
                <wp:positionV relativeFrom="page">
                  <wp:posOffset>5888990</wp:posOffset>
                </wp:positionV>
                <wp:extent cx="125095" cy="283210"/>
                <wp:effectExtent l="0" t="0" r="1905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283210"/>
                        </a:xfrm>
                        <a:prstGeom prst="rect">
                          <a:avLst/>
                        </a:prstGeom>
                        <a:solidFill>
                          <a:srgbClr val="7585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D4E3B" id="Rectangle 8" o:spid="_x0000_s1026" style="position:absolute;margin-left:45.35pt;margin-top:463.7pt;width:9.85pt;height:22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" fillcolor="#758594" stroked="f">
                <w10:wrap anchorx="page" anchory="page"/>
              </v:rect>
            </w:pict>
          </mc:Fallback>
        </mc:AlternateContent>
      </w:r>
    </w:p>
    <w:p w14:paraId="23EC0F49" w14:textId="77777777" w:rsidR="00740F6F" w:rsidRDefault="00740F6F" w:rsidP="00714B8C">
      <w:pPr>
        <w:pStyle w:val="Bezriadkovania"/>
        <w:rPr>
          <w:sz w:val="2"/>
          <w:szCs w:val="2"/>
        </w:rPr>
      </w:pPr>
    </w:p>
    <w:p w14:paraId="32131E44" w14:textId="77777777" w:rsidR="00740F6F" w:rsidRDefault="00740F6F" w:rsidP="00714B8C">
      <w:pPr>
        <w:pStyle w:val="Zkladntext20"/>
        <w:shd w:val="clear" w:color="auto" w:fill="auto"/>
        <w:ind w:right="7908"/>
      </w:pPr>
      <w:r>
        <w:t>29. ledna 2018</w:t>
      </w:r>
    </w:p>
    <w:p w14:paraId="227CD9C4" w14:textId="77777777" w:rsidR="00740F6F" w:rsidRDefault="00740F6F" w:rsidP="00714B8C">
      <w:pPr>
        <w:pStyle w:val="Zkladntext20"/>
        <w:shd w:val="clear" w:color="auto" w:fill="auto"/>
        <w:ind w:right="7908"/>
      </w:pPr>
      <w:r>
        <w:t>Tisková zpráva</w:t>
      </w:r>
    </w:p>
    <w:p w14:paraId="2ABAFD7C" w14:textId="77777777" w:rsidR="00740F6F" w:rsidRDefault="00740F6F" w:rsidP="00714B8C">
      <w:pPr>
        <w:pStyle w:val="Nadpis10"/>
        <w:shd w:val="clear" w:color="auto" w:fill="auto"/>
        <w:spacing w:after="0" w:line="280" w:lineRule="exact"/>
        <w:ind w:right="20"/>
      </w:pPr>
      <w:bookmarkStart w:id="1" w:name="bookmark0"/>
    </w:p>
    <w:p w14:paraId="629B4A3F" w14:textId="77777777" w:rsidR="00740F6F" w:rsidRDefault="00740F6F" w:rsidP="00714B8C">
      <w:pPr>
        <w:pStyle w:val="Nadpis10"/>
        <w:shd w:val="clear" w:color="auto" w:fill="auto"/>
        <w:spacing w:after="298" w:line="280" w:lineRule="exact"/>
        <w:ind w:right="20"/>
      </w:pPr>
      <w:r>
        <w:t>Zlepšené spalování díky aditivům WS2 rovněž snižuje emise</w:t>
      </w:r>
      <w:bookmarkEnd w:id="1"/>
    </w:p>
    <w:p w14:paraId="7A7C48AC" w14:textId="762E6B20" w:rsidR="00740F6F" w:rsidRDefault="00282DE3" w:rsidP="00714B8C">
      <w:pPr>
        <w:pStyle w:val="Zkladntext20"/>
        <w:shd w:val="clear" w:color="auto" w:fill="auto"/>
        <w:ind w:right="112"/>
      </w:pPr>
      <w:r>
        <w:rPr>
          <w:noProof/>
          <w:lang w:eastAsia="cs-CZ"/>
        </w:rPr>
        <w:drawing>
          <wp:anchor distT="0" distB="0" distL="63500" distR="63500" simplePos="0" relativeHeight="251657216" behindDoc="1" locked="0" layoutInCell="1" allowOverlap="1" wp14:anchorId="47FB88EC" wp14:editId="3D40B361">
            <wp:simplePos x="0" y="0"/>
            <wp:positionH relativeFrom="page">
              <wp:posOffset>4695825</wp:posOffset>
            </wp:positionH>
            <wp:positionV relativeFrom="page">
              <wp:posOffset>1971675</wp:posOffset>
            </wp:positionV>
            <wp:extent cx="2450465" cy="2685415"/>
            <wp:effectExtent l="0" t="0" r="0" b="698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68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6F">
        <w:t xml:space="preserve">Používání aditiv s disulfidem wolframu (WS2) v olejích nejenže díky zlepšenému spalování snižuje spotřebu paliva, ale podle poskytovatele řízení kapalin </w:t>
      </w:r>
      <w:proofErr w:type="spellStart"/>
      <w:r w:rsidR="00740F6F">
        <w:t>Techenomics</w:t>
      </w:r>
      <w:proofErr w:type="spellEnd"/>
      <w:r w:rsidR="00740F6F">
        <w:t xml:space="preserve"> omezuje také emise výfukových plynů.</w:t>
      </w:r>
    </w:p>
    <w:p w14:paraId="0CFCDD02" w14:textId="77777777" w:rsidR="00740F6F" w:rsidRDefault="00740F6F" w:rsidP="00714B8C">
      <w:pPr>
        <w:pStyle w:val="Zkladntext20"/>
        <w:shd w:val="clear" w:color="auto" w:fill="auto"/>
        <w:spacing w:after="240"/>
        <w:ind w:right="112"/>
      </w:pPr>
      <w:r>
        <w:t xml:space="preserve">Emise vznikají při neefektivním spalování a pokračující zkoušky nano aditiv s WS2 v olejích prováděné </w:t>
      </w:r>
      <w:proofErr w:type="spellStart"/>
      <w:r>
        <w:t>Techenomics</w:t>
      </w:r>
      <w:proofErr w:type="spellEnd"/>
      <w:r>
        <w:t xml:space="preserve"> potvrzují zlepšené spalování díky snížení tření.</w:t>
      </w:r>
    </w:p>
    <w:p w14:paraId="5BB74634" w14:textId="77777777" w:rsidR="00740F6F" w:rsidRDefault="00740F6F" w:rsidP="00714B8C">
      <w:pPr>
        <w:pStyle w:val="Zkladntext20"/>
        <w:shd w:val="clear" w:color="auto" w:fill="auto"/>
        <w:spacing w:after="240"/>
        <w:ind w:right="112"/>
      </w:pPr>
      <w:r>
        <w:t>To naopak snižuje opotřebení součástek motoru a výsledkem je nižší spotřeba paliva, protože motor pracuje mnohem efektivněji.</w:t>
      </w:r>
    </w:p>
    <w:p w14:paraId="210D26BD" w14:textId="77777777" w:rsidR="00740F6F" w:rsidRDefault="00740F6F" w:rsidP="00714B8C">
      <w:pPr>
        <w:pStyle w:val="Zkladntext41"/>
        <w:framePr w:w="2890" w:h="590" w:hRule="exact" w:wrap="none" w:vAnchor="page" w:hAnchor="page" w:x="8041" w:y="6796"/>
        <w:shd w:val="clear" w:color="auto" w:fill="auto"/>
        <w:ind w:left="20"/>
      </w:pPr>
      <w:r>
        <w:rPr>
          <w:rStyle w:val="Zkladntext40"/>
          <w:rFonts w:eastAsia="Arial"/>
          <w:b/>
          <w:lang w:val="cs-CZ"/>
        </w:rPr>
        <w:t xml:space="preserve">Chris </w:t>
      </w:r>
      <w:proofErr w:type="spellStart"/>
      <w:r>
        <w:rPr>
          <w:rStyle w:val="Zkladntext40"/>
          <w:rFonts w:eastAsia="Arial"/>
          <w:b/>
          <w:lang w:val="cs-CZ"/>
        </w:rPr>
        <w:t>Adsett</w:t>
      </w:r>
      <w:proofErr w:type="spellEnd"/>
      <w:r>
        <w:rPr>
          <w:rStyle w:val="Zkladntext40"/>
          <w:rFonts w:eastAsia="Arial"/>
          <w:b/>
          <w:lang w:val="cs-CZ"/>
        </w:rPr>
        <w:t xml:space="preserve">, výkonný ředitel </w:t>
      </w:r>
      <w:proofErr w:type="spellStart"/>
      <w:r>
        <w:rPr>
          <w:rStyle w:val="Zkladntext40"/>
          <w:rFonts w:eastAsia="Arial"/>
          <w:b/>
          <w:lang w:val="cs-CZ"/>
        </w:rPr>
        <w:t>Techenomics</w:t>
      </w:r>
      <w:proofErr w:type="spellEnd"/>
      <w:r>
        <w:rPr>
          <w:rStyle w:val="Zkladntext40"/>
          <w:rFonts w:eastAsia="Arial"/>
          <w:b/>
          <w:lang w:val="cs-CZ"/>
        </w:rPr>
        <w:t xml:space="preserve"> International</w:t>
      </w:r>
    </w:p>
    <w:p w14:paraId="1093DF14" w14:textId="77777777" w:rsidR="00740F6F" w:rsidRDefault="00740F6F" w:rsidP="00714B8C">
      <w:pPr>
        <w:pStyle w:val="Zkladntext20"/>
        <w:shd w:val="clear" w:color="auto" w:fill="auto"/>
        <w:ind w:right="112"/>
      </w:pPr>
      <w:r>
        <w:t xml:space="preserve">„Přímým přínosem tohoto procesu je snížení emisí,“ uvádí výkonný ředitel </w:t>
      </w:r>
      <w:proofErr w:type="spellStart"/>
      <w:r>
        <w:t>Techenomics</w:t>
      </w:r>
      <w:proofErr w:type="spellEnd"/>
      <w:r>
        <w:t xml:space="preserve"> Chris </w:t>
      </w:r>
      <w:proofErr w:type="spellStart"/>
      <w:r>
        <w:t>Adsett</w:t>
      </w:r>
      <w:proofErr w:type="spellEnd"/>
      <w:r>
        <w:t>.</w:t>
      </w:r>
    </w:p>
    <w:p w14:paraId="13E1C182" w14:textId="77777777" w:rsidR="00740F6F" w:rsidRDefault="00740F6F" w:rsidP="00714B8C">
      <w:pPr>
        <w:pStyle w:val="Zkladntext20"/>
        <w:shd w:val="clear" w:color="auto" w:fill="auto"/>
        <w:ind w:right="112"/>
      </w:pPr>
      <w:proofErr w:type="spellStart"/>
      <w:r>
        <w:t>Techenomics</w:t>
      </w:r>
      <w:proofErr w:type="spellEnd"/>
      <w:r>
        <w:t xml:space="preserve"> distribuuje tato jedinečná aditiva s WS2 ve své síti a uvádí, že výhody mnohem převažují nad minimálními náklady navíc.</w:t>
      </w:r>
    </w:p>
    <w:p w14:paraId="56C95764" w14:textId="77777777" w:rsidR="00740F6F" w:rsidRDefault="00740F6F" w:rsidP="00714B8C">
      <w:pPr>
        <w:pStyle w:val="Zkladntext20"/>
        <w:shd w:val="clear" w:color="auto" w:fill="auto"/>
        <w:ind w:right="112"/>
      </w:pPr>
    </w:p>
    <w:p w14:paraId="052A75E4" w14:textId="09091D5D" w:rsidR="00740F6F" w:rsidRDefault="00282DE3" w:rsidP="00714B8C">
      <w:pPr>
        <w:pStyle w:val="Bezriadkovania"/>
        <w:rPr>
          <w:sz w:val="2"/>
          <w:szCs w:val="2"/>
        </w:rPr>
      </w:pPr>
      <w:r>
        <w:rPr>
          <w:noProof/>
          <w:lang w:eastAsia="cs-CZ"/>
        </w:rPr>
        <w:drawing>
          <wp:inline distT="0" distB="0" distL="0" distR="0" wp14:anchorId="17C093BD" wp14:editId="525103BC">
            <wp:extent cx="5816600" cy="170180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96825" w14:textId="77777777" w:rsidR="00740F6F" w:rsidRDefault="00740F6F" w:rsidP="00714B8C">
      <w:pPr>
        <w:pStyle w:val="Zkladntext20"/>
        <w:shd w:val="clear" w:color="auto" w:fill="auto"/>
        <w:spacing w:after="282"/>
      </w:pPr>
      <w:r>
        <w:t xml:space="preserve">„To potvrzují naše nezávislé zkoušky, které dosud prokázaly při použití aditiv s WS2 u motorových olejů zlepšení až o 259 % v porovnání s takzvanými nano aditivy neobsahujícími wolfram,“ říká Chris </w:t>
      </w:r>
      <w:proofErr w:type="spellStart"/>
      <w:r>
        <w:t>Adsett</w:t>
      </w:r>
      <w:proofErr w:type="spellEnd"/>
      <w:r>
        <w:t>.</w:t>
      </w:r>
    </w:p>
    <w:p w14:paraId="231D35C0" w14:textId="77777777" w:rsidR="00740F6F" w:rsidRDefault="00740F6F" w:rsidP="00714B8C">
      <w:pPr>
        <w:pStyle w:val="Zkladntext20"/>
        <w:shd w:val="clear" w:color="auto" w:fill="auto"/>
        <w:spacing w:line="240" w:lineRule="exact"/>
      </w:pPr>
      <w:r>
        <w:t>Nedávná neoficiální zkouška na lehkém užitkovém vozidle provozovaném pro služební účely demonstrovala nepřímé výhody.</w:t>
      </w:r>
    </w:p>
    <w:p w14:paraId="32A3C637" w14:textId="77777777" w:rsidR="00740F6F" w:rsidRDefault="00740F6F" w:rsidP="00C568F5">
      <w:pPr>
        <w:pStyle w:val="Zkladntext20"/>
        <w:shd w:val="clear" w:color="auto" w:fill="auto"/>
        <w:spacing w:after="240"/>
      </w:pPr>
      <w:r>
        <w:t>„Vůz kouřil ,jako komín‘ a naplnil dílnu kouřem i po kompletním servisu. Avšak emise po přidání 200 ml WS2 do oleje přestaly a vůz nyní běží neuvěřitelně dobře,“ tvrdil vlastník.</w:t>
      </w:r>
    </w:p>
    <w:p w14:paraId="4FF8000D" w14:textId="77777777" w:rsidR="00740F6F" w:rsidRDefault="00740F6F" w:rsidP="00714B8C">
      <w:pPr>
        <w:pStyle w:val="Zkladntext20"/>
        <w:shd w:val="clear" w:color="auto" w:fill="auto"/>
      </w:pPr>
      <w:r>
        <w:t xml:space="preserve">Chris </w:t>
      </w:r>
      <w:proofErr w:type="spellStart"/>
      <w:r>
        <w:t>Adsett</w:t>
      </w:r>
      <w:proofErr w:type="spellEnd"/>
      <w:r>
        <w:t xml:space="preserve"> dodává, že „výhody nižší spotřeby paliva byly prokázány i během nedávné neoficiální zkoušky na silnici“.</w:t>
      </w:r>
    </w:p>
    <w:p w14:paraId="7826C4EA" w14:textId="77777777" w:rsidR="00740F6F" w:rsidRDefault="00740F6F" w:rsidP="00714B8C">
      <w:pPr>
        <w:pStyle w:val="Zkladntext20"/>
        <w:shd w:val="clear" w:color="auto" w:fill="auto"/>
      </w:pPr>
      <w:r>
        <w:t>Obchodník přidal WS2 do motorového oleje LPG poháněného čtyřlitrového šestiválcového vozu Ford, s nímž strávil mnoho času na venkovských vozovkách.</w:t>
      </w:r>
    </w:p>
    <w:p w14:paraId="025D4F2E" w14:textId="77777777" w:rsidR="00740F6F" w:rsidRDefault="00740F6F" w:rsidP="00714B8C">
      <w:pPr>
        <w:pStyle w:val="Zkladntext20"/>
        <w:shd w:val="clear" w:color="auto" w:fill="auto"/>
      </w:pPr>
      <w:r>
        <w:br w:type="page"/>
      </w:r>
    </w:p>
    <w:p w14:paraId="50B34917" w14:textId="77777777" w:rsidR="00740F6F" w:rsidRDefault="00740F6F" w:rsidP="00714B8C">
      <w:pPr>
        <w:pStyle w:val="Zkladntext20"/>
        <w:shd w:val="clear" w:color="auto" w:fill="auto"/>
        <w:spacing w:line="298" w:lineRule="exact"/>
      </w:pPr>
      <w:r>
        <w:lastRenderedPageBreak/>
        <w:t>Před použitím WS2 činila jeho spotřeba 17,4 litru na 100 kilometrů a během zkoušek poklesla na 15,2 litru, což představuje úsporu 14,5 %.</w:t>
      </w:r>
    </w:p>
    <w:p w14:paraId="0907C5BD" w14:textId="77777777" w:rsidR="00740F6F" w:rsidRDefault="00740F6F" w:rsidP="00714B8C">
      <w:pPr>
        <w:pStyle w:val="Zkladntext20"/>
        <w:shd w:val="clear" w:color="auto" w:fill="auto"/>
        <w:spacing w:line="298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9283"/>
      </w:tblGrid>
      <w:tr w:rsidR="00740F6F" w14:paraId="1284AD50" w14:textId="77777777" w:rsidTr="00714B8C">
        <w:trPr>
          <w:trHeight w:val="1649"/>
        </w:trPr>
        <w:tc>
          <w:tcPr>
            <w:tcW w:w="1128" w:type="dxa"/>
            <w:shd w:val="clear" w:color="auto" w:fill="FFFFFF"/>
          </w:tcPr>
          <w:p w14:paraId="0A3987A1" w14:textId="5ED32B46" w:rsidR="00740F6F" w:rsidRDefault="00282DE3" w:rsidP="00714B8C">
            <w:pPr>
              <w:rPr>
                <w:sz w:val="2"/>
                <w:szCs w:val="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1F08783" wp14:editId="3C4FDCB7">
                  <wp:extent cx="711200" cy="863600"/>
                  <wp:effectExtent l="0" t="0" r="0" b="0"/>
                  <wp:docPr id="2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3" w:type="dxa"/>
            <w:shd w:val="clear" w:color="auto" w:fill="FFC000"/>
          </w:tcPr>
          <w:p w14:paraId="5C14E628" w14:textId="77777777" w:rsidR="00740F6F" w:rsidRPr="00C568F5" w:rsidRDefault="00740F6F" w:rsidP="00714B8C">
            <w:pPr>
              <w:pStyle w:val="Zkladntext20"/>
              <w:shd w:val="clear" w:color="auto" w:fill="auto"/>
              <w:spacing w:line="240" w:lineRule="auto"/>
              <w:ind w:left="121"/>
              <w:jc w:val="both"/>
              <w:rPr>
                <w:rStyle w:val="Zkladntext2CenturyGothic"/>
                <w:rFonts w:ascii="Calibri" w:eastAsia="Arial" w:hAnsi="Calibri" w:cs="Calibri"/>
                <w:color w:val="FFFFFF"/>
                <w:sz w:val="48"/>
                <w:szCs w:val="48"/>
                <w:lang w:val="cs-CZ"/>
              </w:rPr>
            </w:pPr>
            <w:r w:rsidRPr="00714B8C">
              <w:rPr>
                <w:rStyle w:val="Zkladntext2CenturyGothic"/>
                <w:rFonts w:eastAsia="Arial"/>
                <w:color w:val="FFFFFF"/>
                <w:sz w:val="48"/>
                <w:lang w:val="cs-CZ"/>
              </w:rPr>
              <w:t>VYŘEŠTE SVÉ PROBLÉMY S MAZÁNÍM</w:t>
            </w:r>
          </w:p>
          <w:p w14:paraId="28CE6EFD" w14:textId="26643782" w:rsidR="00740F6F" w:rsidRPr="00714B8C" w:rsidRDefault="00740F6F" w:rsidP="0008707D">
            <w:pPr>
              <w:pStyle w:val="Zkladntext20"/>
              <w:shd w:val="clear" w:color="auto" w:fill="auto"/>
              <w:spacing w:line="278" w:lineRule="exact"/>
              <w:ind w:left="121" w:right="204"/>
              <w:jc w:val="both"/>
            </w:pPr>
            <w:r w:rsidRPr="00714B8C">
              <w:rPr>
                <w:rStyle w:val="Zkladntext2CenturyGothic"/>
                <w:rFonts w:eastAsia="Arial"/>
                <w:sz w:val="24"/>
                <w:lang w:val="cs-CZ"/>
              </w:rPr>
              <w:t>Otestujeme váš olej s příslušným aditivem WS2, abychom vám sdělili relevantní informace o snížení vaší spotřeby paliva a opotřebení vašeho motoru!</w:t>
            </w:r>
          </w:p>
        </w:tc>
      </w:tr>
    </w:tbl>
    <w:p w14:paraId="06F9A1E5" w14:textId="77777777" w:rsidR="00740F6F" w:rsidRDefault="00740F6F" w:rsidP="00714B8C">
      <w:pPr>
        <w:pStyle w:val="Zkladntext20"/>
        <w:shd w:val="clear" w:color="auto" w:fill="auto"/>
        <w:spacing w:after="240" w:line="298" w:lineRule="exact"/>
      </w:pPr>
    </w:p>
    <w:p w14:paraId="31C47AC6" w14:textId="77777777" w:rsidR="00740F6F" w:rsidRDefault="00740F6F" w:rsidP="00617BC7">
      <w:pPr>
        <w:pStyle w:val="Zkladntext20"/>
        <w:shd w:val="clear" w:color="auto" w:fill="auto"/>
        <w:spacing w:after="240" w:line="298" w:lineRule="exact"/>
      </w:pPr>
      <w:r>
        <w:t xml:space="preserve">„Podobných čísel bylo možné dosáhnout u všech ukazatelů v dálkové nákladní silniční dopravě, takže používání aditiv s WS2 by mělo být ,zcela jasné‘,“ říká Chris </w:t>
      </w:r>
      <w:proofErr w:type="spellStart"/>
      <w:r>
        <w:t>Adsett</w:t>
      </w:r>
      <w:proofErr w:type="spellEnd"/>
      <w:r>
        <w:t xml:space="preserve">, a doplňuje: „WS2 je jedním z nejvíce </w:t>
      </w:r>
      <w:proofErr w:type="spellStart"/>
      <w:r>
        <w:t>mazivých</w:t>
      </w:r>
      <w:proofErr w:type="spellEnd"/>
      <w:r>
        <w:t xml:space="preserve"> materiálů, které věda zná, a jeho koeficient tření činí pouhých 0,03. Jeho </w:t>
      </w:r>
      <w:proofErr w:type="spellStart"/>
      <w:r>
        <w:t>mazivost</w:t>
      </w:r>
      <w:proofErr w:type="spellEnd"/>
      <w:r>
        <w:t xml:space="preserve"> za sucha překonává jakoukoli jinou látku. WS2 nabízí vynikající </w:t>
      </w:r>
      <w:proofErr w:type="spellStart"/>
      <w:r>
        <w:t>mazivost</w:t>
      </w:r>
      <w:proofErr w:type="spellEnd"/>
      <w:r>
        <w:t xml:space="preserve"> za extrémního zatížení a teploty a je prokázána jeho účinnost od -273 </w:t>
      </w:r>
      <w:proofErr w:type="spellStart"/>
      <w:r w:rsidRPr="00617BC7">
        <w:rPr>
          <w:vertAlign w:val="superscript"/>
        </w:rPr>
        <w:t>o</w:t>
      </w:r>
      <w:r>
        <w:t>C</w:t>
      </w:r>
      <w:proofErr w:type="spellEnd"/>
      <w:r>
        <w:t xml:space="preserve"> až do +650 </w:t>
      </w:r>
      <w:proofErr w:type="spellStart"/>
      <w:r w:rsidRPr="00617BC7">
        <w:rPr>
          <w:vertAlign w:val="superscript"/>
        </w:rPr>
        <w:t>o</w:t>
      </w:r>
      <w:r>
        <w:t>C</w:t>
      </w:r>
      <w:proofErr w:type="spellEnd"/>
      <w:r>
        <w:t>. Nabízí vynikající tepelnou stabilitu a odolnost proti oxidaci za vyšších teplot.“</w:t>
      </w:r>
    </w:p>
    <w:p w14:paraId="59A6DAB1" w14:textId="77777777" w:rsidR="00740F6F" w:rsidRDefault="00740F6F" w:rsidP="00714B8C">
      <w:pPr>
        <w:pStyle w:val="Zkladntext20"/>
        <w:shd w:val="clear" w:color="auto" w:fill="auto"/>
        <w:spacing w:after="240"/>
      </w:pPr>
      <w:r>
        <w:t xml:space="preserve">Laboratorní zkoušky </w:t>
      </w:r>
      <w:proofErr w:type="spellStart"/>
      <w:r>
        <w:t>Techenomics</w:t>
      </w:r>
      <w:proofErr w:type="spellEnd"/>
      <w:r>
        <w:t xml:space="preserve"> prokázaly prodloužení času k selhání až o 74 % a 43 % rovněž u převodových a převodovkových olejů.</w:t>
      </w:r>
    </w:p>
    <w:p w14:paraId="08D5894A" w14:textId="77777777" w:rsidR="00740F6F" w:rsidRDefault="00740F6F">
      <w:pPr>
        <w:rPr>
          <w:sz w:val="2"/>
          <w:szCs w:val="2"/>
        </w:rPr>
      </w:pPr>
    </w:p>
    <w:sectPr w:rsidR="00740F6F" w:rsidSect="00714B8C">
      <w:headerReference w:type="default" r:id="rId9"/>
      <w:pgSz w:w="11900" w:h="16840"/>
      <w:pgMar w:top="1560" w:right="720" w:bottom="720" w:left="720" w:header="284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F069A" w14:textId="77777777" w:rsidR="00C1271E" w:rsidRDefault="00C1271E">
      <w:r>
        <w:separator/>
      </w:r>
    </w:p>
  </w:endnote>
  <w:endnote w:type="continuationSeparator" w:id="0">
    <w:p w14:paraId="2A5016B7" w14:textId="77777777" w:rsidR="00C1271E" w:rsidRDefault="00C1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5D5D3" w14:textId="77777777" w:rsidR="00C1271E" w:rsidRDefault="00C1271E"/>
  </w:footnote>
  <w:footnote w:type="continuationSeparator" w:id="0">
    <w:p w14:paraId="137D4B4B" w14:textId="77777777" w:rsidR="00C1271E" w:rsidRDefault="00C127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A8E1D" w14:textId="32CF89B2" w:rsidR="00740F6F" w:rsidRDefault="00282DE3" w:rsidP="00714B8C">
    <w:pPr>
      <w:pStyle w:val="Hlavika"/>
      <w:jc w:val="right"/>
    </w:pPr>
    <w:r>
      <w:rPr>
        <w:noProof/>
        <w:lang w:eastAsia="cs-CZ"/>
      </w:rPr>
      <w:drawing>
        <wp:inline distT="0" distB="0" distL="0" distR="0" wp14:anchorId="1DD2B0BD" wp14:editId="6EFB1E8A">
          <wp:extent cx="2730500" cy="609600"/>
          <wp:effectExtent l="0" t="0" r="1270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87"/>
    <w:rsid w:val="000320B5"/>
    <w:rsid w:val="0008707D"/>
    <w:rsid w:val="00242A80"/>
    <w:rsid w:val="00282DE3"/>
    <w:rsid w:val="002F5936"/>
    <w:rsid w:val="004B1A8F"/>
    <w:rsid w:val="004C6A41"/>
    <w:rsid w:val="005B733A"/>
    <w:rsid w:val="005C02E5"/>
    <w:rsid w:val="00617BC7"/>
    <w:rsid w:val="00642ED2"/>
    <w:rsid w:val="00714B8C"/>
    <w:rsid w:val="00740F6F"/>
    <w:rsid w:val="00804BB5"/>
    <w:rsid w:val="009C341C"/>
    <w:rsid w:val="009D0DC5"/>
    <w:rsid w:val="00AC0556"/>
    <w:rsid w:val="00C1271E"/>
    <w:rsid w:val="00C568F5"/>
    <w:rsid w:val="00C72287"/>
    <w:rsid w:val="00E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CEE7A9"/>
  <w15:docId w15:val="{026D2B34-D6F9-4FDC-8D5C-F98519C8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341C"/>
    <w:pPr>
      <w:widowControl w:val="0"/>
    </w:pPr>
    <w:rPr>
      <w:color w:val="000000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9C341C"/>
    <w:rPr>
      <w:rFonts w:cs="Times New Roman"/>
      <w:color w:val="0066CC"/>
      <w:u w:val="single"/>
    </w:rPr>
  </w:style>
  <w:style w:type="character" w:customStyle="1" w:styleId="Zkladntext2">
    <w:name w:val="Základní text (2)_"/>
    <w:basedOn w:val="Predvolenpsmoodseku"/>
    <w:link w:val="Zkladntext20"/>
    <w:uiPriority w:val="99"/>
    <w:locked/>
    <w:rsid w:val="009C341C"/>
    <w:rPr>
      <w:rFonts w:ascii="Calibri" w:eastAsia="Times New Roman" w:hAnsi="Calibri" w:cs="Calibri"/>
      <w:sz w:val="24"/>
      <w:szCs w:val="24"/>
      <w:u w:val="none"/>
    </w:rPr>
  </w:style>
  <w:style w:type="character" w:customStyle="1" w:styleId="Nadpis1">
    <w:name w:val="Nadpis #1_"/>
    <w:basedOn w:val="Predvolenpsmoodseku"/>
    <w:link w:val="Nadpis10"/>
    <w:uiPriority w:val="99"/>
    <w:locked/>
    <w:rsid w:val="009C341C"/>
    <w:rPr>
      <w:rFonts w:ascii="Calibri" w:eastAsia="Times New Roman" w:hAnsi="Calibri" w:cs="Calibri"/>
      <w:b/>
      <w:bCs/>
      <w:sz w:val="28"/>
      <w:szCs w:val="28"/>
      <w:u w:val="none"/>
    </w:rPr>
  </w:style>
  <w:style w:type="character" w:customStyle="1" w:styleId="Zkladntext4">
    <w:name w:val="Základní text (4)_"/>
    <w:basedOn w:val="Predvolenpsmoodseku"/>
    <w:link w:val="Zkladntext41"/>
    <w:uiPriority w:val="99"/>
    <w:locked/>
    <w:rsid w:val="009C341C"/>
    <w:rPr>
      <w:rFonts w:ascii="Century Gothic" w:eastAsia="Times New Roman" w:hAnsi="Century Gothic" w:cs="Century Gothic"/>
      <w:b/>
      <w:bCs/>
      <w:sz w:val="21"/>
      <w:szCs w:val="21"/>
      <w:u w:val="none"/>
    </w:rPr>
  </w:style>
  <w:style w:type="character" w:customStyle="1" w:styleId="Zkladntext40">
    <w:name w:val="Základní text (4)"/>
    <w:basedOn w:val="Zkladntext4"/>
    <w:uiPriority w:val="99"/>
    <w:rsid w:val="009C341C"/>
    <w:rPr>
      <w:rFonts w:ascii="Century Gothic" w:eastAsia="Times New Roman" w:hAnsi="Century Gothic" w:cs="Century Gothic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Zkladntext3">
    <w:name w:val="Základní text (3)_"/>
    <w:basedOn w:val="Predvolenpsmoodseku"/>
    <w:link w:val="Zkladntext31"/>
    <w:uiPriority w:val="99"/>
    <w:locked/>
    <w:rsid w:val="009C341C"/>
    <w:rPr>
      <w:rFonts w:ascii="Calibri" w:eastAsia="Times New Roman" w:hAnsi="Calibri" w:cs="Calibri"/>
      <w:i/>
      <w:iCs/>
      <w:sz w:val="24"/>
      <w:szCs w:val="24"/>
      <w:u w:val="none"/>
    </w:rPr>
  </w:style>
  <w:style w:type="character" w:customStyle="1" w:styleId="Zkladntext30">
    <w:name w:val="Základní text (3)"/>
    <w:basedOn w:val="Zkladntext3"/>
    <w:uiPriority w:val="99"/>
    <w:rsid w:val="009C341C"/>
    <w:rPr>
      <w:rFonts w:ascii="Calibri" w:eastAsia="Times New Roman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Zkladntext313pt">
    <w:name w:val="Základní text (3) + 13 pt"/>
    <w:aliases w:val="Ne kurzíva"/>
    <w:basedOn w:val="Zkladntext3"/>
    <w:uiPriority w:val="99"/>
    <w:rsid w:val="009C341C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6"/>
      <w:szCs w:val="26"/>
      <w:u w:val="single"/>
      <w:lang w:val="en-US" w:eastAsia="en-US"/>
    </w:rPr>
  </w:style>
  <w:style w:type="character" w:customStyle="1" w:styleId="Zkladntext33">
    <w:name w:val="Základní text (3)3"/>
    <w:basedOn w:val="Zkladntext3"/>
    <w:uiPriority w:val="99"/>
    <w:rsid w:val="009C341C"/>
    <w:rPr>
      <w:rFonts w:ascii="Calibri" w:eastAsia="Times New Roman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Zkladntext32">
    <w:name w:val="Základní text (3)2"/>
    <w:basedOn w:val="Zkladntext3"/>
    <w:uiPriority w:val="99"/>
    <w:rsid w:val="009C341C"/>
    <w:rPr>
      <w:rFonts w:ascii="Calibri" w:eastAsia="Times New Roman" w:hAnsi="Calibri" w:cs="Calibri"/>
      <w:i/>
      <w:iC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Zkladntext2CenturyGothic">
    <w:name w:val="Základní text (2) + Century Gothic"/>
    <w:aliases w:val="10,5 pt,Tučné"/>
    <w:basedOn w:val="Zkladntext2"/>
    <w:uiPriority w:val="99"/>
    <w:rsid w:val="009C341C"/>
    <w:rPr>
      <w:rFonts w:ascii="Century Gothic" w:eastAsia="Times New Roman" w:hAnsi="Century Gothic" w:cs="Century Gothic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paragraph" w:customStyle="1" w:styleId="Zkladntext20">
    <w:name w:val="Základní text (2)"/>
    <w:basedOn w:val="Normlny"/>
    <w:link w:val="Zkladntext2"/>
    <w:uiPriority w:val="99"/>
    <w:rsid w:val="009C341C"/>
    <w:pPr>
      <w:shd w:val="clear" w:color="auto" w:fill="FFFFFF"/>
      <w:spacing w:line="293" w:lineRule="exact"/>
    </w:pPr>
    <w:rPr>
      <w:rFonts w:ascii="Calibri" w:hAnsi="Calibri" w:cs="Calibri"/>
    </w:rPr>
  </w:style>
  <w:style w:type="paragraph" w:customStyle="1" w:styleId="Nadpis10">
    <w:name w:val="Nadpis #1"/>
    <w:basedOn w:val="Normlny"/>
    <w:link w:val="Nadpis1"/>
    <w:uiPriority w:val="99"/>
    <w:rsid w:val="009C341C"/>
    <w:pPr>
      <w:shd w:val="clear" w:color="auto" w:fill="FFFFFF"/>
      <w:spacing w:after="420" w:line="240" w:lineRule="atLeast"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Zkladntext41">
    <w:name w:val="Základní text (4)1"/>
    <w:basedOn w:val="Normlny"/>
    <w:link w:val="Zkladntext4"/>
    <w:uiPriority w:val="99"/>
    <w:rsid w:val="009C341C"/>
    <w:pPr>
      <w:shd w:val="clear" w:color="auto" w:fill="FFFFFF"/>
      <w:spacing w:line="259" w:lineRule="exact"/>
      <w:jc w:val="center"/>
    </w:pPr>
    <w:rPr>
      <w:rFonts w:ascii="Century Gothic" w:hAnsi="Century Gothic" w:cs="Century Gothic"/>
      <w:b/>
      <w:bCs/>
      <w:sz w:val="21"/>
      <w:szCs w:val="21"/>
    </w:rPr>
  </w:style>
  <w:style w:type="paragraph" w:customStyle="1" w:styleId="Zkladntext31">
    <w:name w:val="Základní text (3)1"/>
    <w:basedOn w:val="Normlny"/>
    <w:link w:val="Zkladntext3"/>
    <w:uiPriority w:val="99"/>
    <w:rsid w:val="009C341C"/>
    <w:pPr>
      <w:shd w:val="clear" w:color="auto" w:fill="FFFFFF"/>
      <w:spacing w:before="240" w:line="293" w:lineRule="exact"/>
    </w:pPr>
    <w:rPr>
      <w:rFonts w:ascii="Calibri" w:hAnsi="Calibri" w:cs="Calibri"/>
      <w:i/>
      <w:iCs/>
    </w:rPr>
  </w:style>
  <w:style w:type="paragraph" w:styleId="Bezriadkovania">
    <w:name w:val="No Spacing"/>
    <w:uiPriority w:val="99"/>
    <w:qFormat/>
    <w:rsid w:val="00714B8C"/>
    <w:pPr>
      <w:widowControl w:val="0"/>
    </w:pPr>
    <w:rPr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714B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14B8C"/>
    <w:rPr>
      <w:rFonts w:cs="Times New Roman"/>
      <w:color w:val="000000"/>
    </w:rPr>
  </w:style>
  <w:style w:type="paragraph" w:styleId="Pta">
    <w:name w:val="footer"/>
    <w:basedOn w:val="Normlny"/>
    <w:link w:val="PtaChar"/>
    <w:uiPriority w:val="99"/>
    <w:rsid w:val="00714B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14B8C"/>
    <w:rPr>
      <w:rFonts w:cs="Times New Roman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rsid w:val="00EB7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B7ED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BONUSKO 15</cp:lastModifiedBy>
  <cp:revision>2</cp:revision>
  <dcterms:created xsi:type="dcterms:W3CDTF">2019-05-08T09:10:00Z</dcterms:created>
  <dcterms:modified xsi:type="dcterms:W3CDTF">2019-05-08T09:10:00Z</dcterms:modified>
</cp:coreProperties>
</file>