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825A" w14:textId="77777777" w:rsidR="007E61C6" w:rsidRDefault="007E61C6">
      <w:pPr>
        <w:rPr>
          <w:sz w:val="2"/>
          <w:szCs w:val="2"/>
        </w:rPr>
      </w:pPr>
      <w:bookmarkStart w:id="0" w:name="_GoBack"/>
      <w:bookmarkEnd w:id="0"/>
    </w:p>
    <w:p w14:paraId="3E575C9C" w14:textId="77777777" w:rsidR="007E61C6" w:rsidRDefault="007E61C6" w:rsidP="00775681">
      <w:pPr>
        <w:pStyle w:val="Zkladntext20"/>
        <w:shd w:val="clear" w:color="auto" w:fill="auto"/>
        <w:ind w:right="4040"/>
      </w:pPr>
      <w:r>
        <w:t>15. prosince 2017</w:t>
      </w:r>
    </w:p>
    <w:p w14:paraId="3888A311" w14:textId="77777777" w:rsidR="007E61C6" w:rsidRDefault="007E61C6" w:rsidP="00775681">
      <w:pPr>
        <w:pStyle w:val="Zkladntext20"/>
        <w:shd w:val="clear" w:color="auto" w:fill="auto"/>
        <w:ind w:right="4040"/>
      </w:pPr>
      <w:r>
        <w:t>Tisková zpráva</w:t>
      </w:r>
    </w:p>
    <w:p w14:paraId="6CE48735" w14:textId="77777777" w:rsidR="007E61C6" w:rsidRDefault="007E61C6" w:rsidP="00775681">
      <w:pPr>
        <w:pStyle w:val="Nadpis20"/>
        <w:shd w:val="clear" w:color="auto" w:fill="auto"/>
        <w:spacing w:after="0" w:line="280" w:lineRule="exact"/>
        <w:ind w:left="80" w:right="1392"/>
      </w:pPr>
      <w:bookmarkStart w:id="1" w:name="bookmark0"/>
    </w:p>
    <w:p w14:paraId="1623F9C3" w14:textId="71FFA0DA" w:rsidR="007E61C6" w:rsidRDefault="006F1CD0" w:rsidP="00775681">
      <w:pPr>
        <w:pStyle w:val="Nadpis20"/>
        <w:shd w:val="clear" w:color="auto" w:fill="auto"/>
        <w:spacing w:after="238" w:line="280" w:lineRule="exact"/>
        <w:ind w:left="80" w:right="1392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4B1126" wp14:editId="0DC8F8DB">
            <wp:simplePos x="0" y="0"/>
            <wp:positionH relativeFrom="column">
              <wp:posOffset>4465955</wp:posOffset>
            </wp:positionH>
            <wp:positionV relativeFrom="paragraph">
              <wp:posOffset>307975</wp:posOffset>
            </wp:positionV>
            <wp:extent cx="2277110" cy="3138805"/>
            <wp:effectExtent l="0" t="0" r="8890" b="10795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13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C6">
        <w:t xml:space="preserve">Používání aditiv WS2 v silniční dopravě není žádný hlavolam: </w:t>
      </w:r>
      <w:proofErr w:type="spellStart"/>
      <w:r w:rsidR="007E61C6">
        <w:t>Techenomics</w:t>
      </w:r>
      <w:bookmarkEnd w:id="1"/>
      <w:proofErr w:type="spellEnd"/>
    </w:p>
    <w:p w14:paraId="7D316AE7" w14:textId="77777777" w:rsidR="007E61C6" w:rsidRDefault="007E61C6" w:rsidP="00775681">
      <w:pPr>
        <w:pStyle w:val="Zkladntext20"/>
        <w:shd w:val="clear" w:color="auto" w:fill="auto"/>
        <w:spacing w:after="240"/>
        <w:ind w:right="3797"/>
      </w:pPr>
      <w:r>
        <w:t xml:space="preserve">S přihlédnutím k výsledkům zkoušek v nezávislých laboratořích a neoficiálních silničních zkoušek je podle </w:t>
      </w:r>
      <w:proofErr w:type="spellStart"/>
      <w:r>
        <w:t>Techenomics</w:t>
      </w:r>
      <w:proofErr w:type="spellEnd"/>
      <w:r>
        <w:t xml:space="preserve"> používání aditiv s disulfidem wolframu (WS2) jasná věc.</w:t>
      </w:r>
    </w:p>
    <w:p w14:paraId="6BDF218B" w14:textId="77777777" w:rsidR="007E61C6" w:rsidRDefault="007E61C6" w:rsidP="00775681">
      <w:pPr>
        <w:pStyle w:val="Zkladntext20"/>
        <w:shd w:val="clear" w:color="auto" w:fill="auto"/>
        <w:spacing w:after="240"/>
        <w:ind w:right="3797"/>
      </w:pPr>
      <w:r>
        <w:t>Poskytovatel řešení v oblasti řízení kapalin, který distribuuje tato jedinečná aditiva ve své síti, říká, že výhody velmi převažují nad minimálními náklady navíc.</w:t>
      </w:r>
    </w:p>
    <w:p w14:paraId="6A16B4A0" w14:textId="77777777" w:rsidR="007E61C6" w:rsidRDefault="007E61C6" w:rsidP="00775681">
      <w:pPr>
        <w:pStyle w:val="Zkladntext20"/>
        <w:shd w:val="clear" w:color="auto" w:fill="auto"/>
        <w:spacing w:after="240"/>
        <w:ind w:right="3797"/>
      </w:pPr>
      <w:r>
        <w:t>Nanočástice aditiva WS2 mají vynikající mazací vlastnosti, které snižují provozní teploty a poskytují vyšší výkon a úspory paliva i snížení opotřebení součástí.</w:t>
      </w:r>
    </w:p>
    <w:p w14:paraId="041C43F5" w14:textId="77777777" w:rsidR="007E61C6" w:rsidRDefault="007E61C6" w:rsidP="00775681">
      <w:pPr>
        <w:pStyle w:val="Zkladntext20"/>
        <w:shd w:val="clear" w:color="auto" w:fill="auto"/>
        <w:ind w:right="3797"/>
      </w:pPr>
      <w:r>
        <w:t xml:space="preserve">Výkonný ředitel </w:t>
      </w:r>
      <w:proofErr w:type="spellStart"/>
      <w:r>
        <w:t>Techenomics</w:t>
      </w:r>
      <w:proofErr w:type="spellEnd"/>
      <w:r>
        <w:t xml:space="preserve"> Chris </w:t>
      </w:r>
      <w:proofErr w:type="spellStart"/>
      <w:r>
        <w:t>Adsett</w:t>
      </w:r>
      <w:proofErr w:type="spellEnd"/>
      <w:r>
        <w:t xml:space="preserve"> uvádí, že: „Nezávislé zkoušky v akreditovaných laboratořích společnosti dokládají, že aditiva </w:t>
      </w:r>
      <w:proofErr w:type="spellStart"/>
      <w:r>
        <w:t>NanoLub</w:t>
      </w:r>
      <w:proofErr w:type="spellEnd"/>
      <w:r>
        <w:t xml:space="preserve"> WS2 snadno překonávají jiná aditiva.</w:t>
      </w:r>
    </w:p>
    <w:p w14:paraId="4B67BBB6" w14:textId="77777777" w:rsidR="007E61C6" w:rsidRPr="00721060" w:rsidRDefault="007E61C6" w:rsidP="00775681">
      <w:pPr>
        <w:pStyle w:val="Titulekobrzku1"/>
        <w:framePr w:w="3134" w:h="509" w:hRule="exact" w:wrap="none" w:vAnchor="page" w:hAnchor="page" w:x="8005" w:y="7755"/>
        <w:shd w:val="clear" w:color="auto" w:fill="auto"/>
        <w:rPr>
          <w:rStyle w:val="Titulekobrzku0"/>
          <w:rFonts w:eastAsia="Arial"/>
          <w:lang w:val="cs-CZ"/>
        </w:rPr>
      </w:pPr>
      <w:r>
        <w:rPr>
          <w:rStyle w:val="Titulekobrzku0"/>
          <w:rFonts w:eastAsia="Arial"/>
          <w:lang w:val="cs-CZ"/>
        </w:rPr>
        <w:t xml:space="preserve">Výkonný ředitel </w:t>
      </w:r>
      <w:proofErr w:type="spellStart"/>
      <w:r>
        <w:rPr>
          <w:rStyle w:val="Titulekobrzku0"/>
          <w:rFonts w:eastAsia="Arial"/>
          <w:lang w:val="cs-CZ"/>
        </w:rPr>
        <w:t>Techenomics</w:t>
      </w:r>
      <w:proofErr w:type="spellEnd"/>
      <w:r>
        <w:rPr>
          <w:rStyle w:val="Titulekobrzku0"/>
          <w:rFonts w:eastAsia="Arial"/>
          <w:lang w:val="cs-CZ"/>
        </w:rPr>
        <w:t xml:space="preserve"> International</w:t>
      </w:r>
    </w:p>
    <w:p w14:paraId="65990750" w14:textId="77777777" w:rsidR="007E61C6" w:rsidRDefault="007E61C6" w:rsidP="00775681">
      <w:pPr>
        <w:pStyle w:val="Titulekobrzku1"/>
        <w:framePr w:w="3134" w:h="509" w:hRule="exact" w:wrap="none" w:vAnchor="page" w:hAnchor="page" w:x="8005" w:y="7755"/>
        <w:shd w:val="clear" w:color="auto" w:fill="auto"/>
      </w:pPr>
      <w:r>
        <w:rPr>
          <w:rStyle w:val="Titulekobrzku0"/>
          <w:rFonts w:eastAsia="Arial"/>
          <w:lang w:val="cs-CZ"/>
        </w:rPr>
        <w:t xml:space="preserve">Chris </w:t>
      </w:r>
      <w:proofErr w:type="spellStart"/>
      <w:r>
        <w:rPr>
          <w:rStyle w:val="Titulekobrzku0"/>
          <w:rFonts w:eastAsia="Arial"/>
          <w:lang w:val="cs-CZ"/>
        </w:rPr>
        <w:t>Adsett</w:t>
      </w:r>
      <w:proofErr w:type="spellEnd"/>
    </w:p>
    <w:p w14:paraId="3ABA6BDE" w14:textId="77777777" w:rsidR="007E61C6" w:rsidRDefault="007E61C6" w:rsidP="00775681">
      <w:pPr>
        <w:pStyle w:val="Zkladntext20"/>
        <w:shd w:val="clear" w:color="auto" w:fill="auto"/>
        <w:spacing w:after="240"/>
        <w:ind w:right="3797"/>
      </w:pPr>
      <w:r>
        <w:t xml:space="preserve">Při použití WS2 v motorových olejích ukazují naše zkoušky prodloužení času k selhání až o 259 % v porovnání s takzvanými </w:t>
      </w:r>
      <w:proofErr w:type="spellStart"/>
      <w:r>
        <w:t>nanoaditivy</w:t>
      </w:r>
      <w:proofErr w:type="spellEnd"/>
      <w:r>
        <w:t xml:space="preserve"> bez wolframu.“</w:t>
      </w:r>
    </w:p>
    <w:p w14:paraId="1CC8FB64" w14:textId="77777777" w:rsidR="007E61C6" w:rsidRDefault="007E61C6" w:rsidP="00775681">
      <w:pPr>
        <w:pStyle w:val="Zkladntext20"/>
        <w:shd w:val="clear" w:color="auto" w:fill="auto"/>
        <w:spacing w:after="240"/>
        <w:ind w:right="112"/>
      </w:pPr>
      <w:r>
        <w:t>U převodových a převodovkových olejů uvádí prodloužení času k selhání až o 74 % a 43 %.</w:t>
      </w:r>
    </w:p>
    <w:p w14:paraId="6560F9B3" w14:textId="77777777" w:rsidR="007E61C6" w:rsidRDefault="007E61C6" w:rsidP="00775681">
      <w:pPr>
        <w:pStyle w:val="Zkladntext20"/>
        <w:shd w:val="clear" w:color="auto" w:fill="auto"/>
        <w:ind w:right="3797"/>
      </w:pPr>
      <w:r>
        <w:t>Tyto laboratorní výsledky podpořily nedávné neoficiální zkoušky na silnici.</w:t>
      </w:r>
    </w:p>
    <w:p w14:paraId="54584814" w14:textId="77777777" w:rsidR="007E61C6" w:rsidRDefault="007E61C6" w:rsidP="00775681">
      <w:pPr>
        <w:pStyle w:val="Zkladntext20"/>
        <w:shd w:val="clear" w:color="auto" w:fill="auto"/>
        <w:ind w:right="112"/>
      </w:pPr>
      <w:r>
        <w:t xml:space="preserve">Obchodník přidal WS2 do motorového oleje LPG poháněného čtyřlitrového šestiválcového vozu Ford, </w:t>
      </w:r>
    </w:p>
    <w:p w14:paraId="59D2115D" w14:textId="77777777" w:rsidR="007E61C6" w:rsidRDefault="007E61C6" w:rsidP="00775681">
      <w:pPr>
        <w:pStyle w:val="Zkladntext20"/>
        <w:shd w:val="clear" w:color="auto" w:fill="auto"/>
        <w:ind w:right="112"/>
      </w:pPr>
      <w:r>
        <w:t>s nímž strávil mnoho času na vozovkách mimo města.</w:t>
      </w:r>
    </w:p>
    <w:p w14:paraId="6AF0FE6A" w14:textId="77777777" w:rsidR="007E61C6" w:rsidRDefault="007E61C6" w:rsidP="00775681">
      <w:pPr>
        <w:pStyle w:val="Bezriadkovania"/>
        <w:rPr>
          <w:sz w:val="2"/>
          <w:szCs w:val="2"/>
        </w:rPr>
      </w:pPr>
    </w:p>
    <w:p w14:paraId="3A5D1C59" w14:textId="77777777" w:rsidR="007E61C6" w:rsidRDefault="007E61C6" w:rsidP="00775681">
      <w:pPr>
        <w:pStyle w:val="Bezriadkovania"/>
        <w:rPr>
          <w:sz w:val="2"/>
          <w:szCs w:val="2"/>
        </w:rPr>
      </w:pPr>
    </w:p>
    <w:p w14:paraId="21155548" w14:textId="0D3B2E1F" w:rsidR="007E61C6" w:rsidRDefault="006F1CD0" w:rsidP="00721060">
      <w:pPr>
        <w:pStyle w:val="Zkladntext20"/>
        <w:shd w:val="clear" w:color="auto" w:fill="auto"/>
        <w:ind w:left="595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FDDA190" wp14:editId="145B4A39">
            <wp:simplePos x="0" y="0"/>
            <wp:positionH relativeFrom="column">
              <wp:posOffset>12700</wp:posOffset>
            </wp:positionH>
            <wp:positionV relativeFrom="paragraph">
              <wp:posOffset>63500</wp:posOffset>
            </wp:positionV>
            <wp:extent cx="3666490" cy="2409190"/>
            <wp:effectExtent l="0" t="0" r="0" b="381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1C6">
        <w:t xml:space="preserve">Před použitím WS2 činila jeho spotřeba </w:t>
      </w:r>
    </w:p>
    <w:p w14:paraId="4A75618E" w14:textId="77777777" w:rsidR="007E61C6" w:rsidRDefault="007E61C6" w:rsidP="00721060">
      <w:pPr>
        <w:pStyle w:val="Zkladntext20"/>
        <w:shd w:val="clear" w:color="auto" w:fill="auto"/>
        <w:ind w:left="5954"/>
      </w:pPr>
      <w:r>
        <w:t>17,4 litru na 100 kilometrů a během zkoušek poklesla na 15,2 litru, což představuje úsporu 14,5 %.</w:t>
      </w:r>
    </w:p>
    <w:p w14:paraId="142C597C" w14:textId="77777777" w:rsidR="007E61C6" w:rsidRDefault="007E61C6" w:rsidP="00775681">
      <w:pPr>
        <w:pStyle w:val="Zkladntext20"/>
        <w:shd w:val="clear" w:color="auto" w:fill="auto"/>
        <w:ind w:left="5952"/>
        <w:jc w:val="both"/>
      </w:pPr>
      <w:r>
        <w:t xml:space="preserve">Chris </w:t>
      </w:r>
      <w:proofErr w:type="spellStart"/>
      <w:r>
        <w:t>Adsett</w:t>
      </w:r>
      <w:proofErr w:type="spellEnd"/>
      <w:r>
        <w:t xml:space="preserve"> říká, že „podobných čísel bylo možné dosáhnout u všech ukazatelů </w:t>
      </w:r>
    </w:p>
    <w:p w14:paraId="047195CF" w14:textId="77777777" w:rsidR="007E61C6" w:rsidRDefault="007E61C6" w:rsidP="00056880">
      <w:pPr>
        <w:pStyle w:val="Zkladntext20"/>
        <w:shd w:val="clear" w:color="auto" w:fill="auto"/>
        <w:ind w:left="5952"/>
        <w:jc w:val="both"/>
      </w:pPr>
      <w:r>
        <w:t>v dálkové nákladní silniční dopravě,“ a dodává: „Typicky 18kolové soupravy spotřebují na dlouhých dopravních trasách 1000 litrů paliva. Při nízkých pořizovacích nákladech, řekněme 1,22 USD za litr, bude 14,5% úspora paliva na těchto cestách činit téměř 177 USD.</w:t>
      </w:r>
    </w:p>
    <w:p w14:paraId="148CDCAD" w14:textId="77777777" w:rsidR="007E61C6" w:rsidRDefault="007E61C6" w:rsidP="00775681">
      <w:pPr>
        <w:pStyle w:val="Zkladntext20"/>
        <w:shd w:val="clear" w:color="auto" w:fill="auto"/>
        <w:ind w:firstLine="5952"/>
      </w:pPr>
      <w:r>
        <w:t>„Mnoho nákladních vozů vykoná za týden osm takových jízd, takže je možné uspořit více než 1415 USD a za čtyři týdny více než 5660 USD.“</w:t>
      </w:r>
    </w:p>
    <w:p w14:paraId="7AFA8E58" w14:textId="77777777" w:rsidR="007E61C6" w:rsidRDefault="007E61C6">
      <w:pPr>
        <w:framePr w:wrap="none" w:vAnchor="page" w:hAnchor="page" w:x="6854" w:y="751"/>
        <w:rPr>
          <w:sz w:val="2"/>
          <w:szCs w:val="2"/>
        </w:rPr>
      </w:pPr>
    </w:p>
    <w:p w14:paraId="7933BA54" w14:textId="77777777" w:rsidR="007E61C6" w:rsidRDefault="007E61C6">
      <w:pPr>
        <w:rPr>
          <w:sz w:val="20"/>
          <w:szCs w:val="20"/>
        </w:rPr>
      </w:pPr>
      <w:r>
        <w:rPr>
          <w:sz w:val="20"/>
        </w:rPr>
        <w:br w:type="page"/>
      </w:r>
    </w:p>
    <w:p w14:paraId="602B26A4" w14:textId="0E519735" w:rsidR="007E61C6" w:rsidRDefault="007E61C6" w:rsidP="00775681">
      <w:pPr>
        <w:pStyle w:val="Zkladntext20"/>
        <w:shd w:val="clear" w:color="auto" w:fill="auto"/>
        <w:ind w:left="16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9307"/>
      </w:tblGrid>
      <w:tr w:rsidR="007E61C6" w14:paraId="6FFC8448" w14:textId="77777777" w:rsidTr="00775681">
        <w:trPr>
          <w:trHeight w:val="1576"/>
        </w:trPr>
        <w:tc>
          <w:tcPr>
            <w:tcW w:w="1349" w:type="dxa"/>
            <w:shd w:val="clear" w:color="auto" w:fill="FFFFFF"/>
          </w:tcPr>
          <w:p w14:paraId="7276442E" w14:textId="576927C5" w:rsidR="007E61C6" w:rsidRDefault="006F1CD0" w:rsidP="00775681">
            <w:pPr>
              <w:rPr>
                <w:sz w:val="2"/>
                <w:szCs w:val="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48C0B73" wp14:editId="48A0AF12">
                  <wp:extent cx="852805" cy="996315"/>
                  <wp:effectExtent l="0" t="0" r="10795" b="0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7" w:type="dxa"/>
            <w:shd w:val="clear" w:color="auto" w:fill="FFC000"/>
          </w:tcPr>
          <w:p w14:paraId="3E229A6A" w14:textId="77777777" w:rsidR="007E61C6" w:rsidRPr="00721060" w:rsidRDefault="007E61C6" w:rsidP="00775681">
            <w:pPr>
              <w:pStyle w:val="Zkladntext20"/>
              <w:shd w:val="clear" w:color="auto" w:fill="auto"/>
              <w:spacing w:line="240" w:lineRule="auto"/>
              <w:ind w:left="189" w:right="172"/>
              <w:jc w:val="both"/>
              <w:rPr>
                <w:rStyle w:val="Zkladntext2CenturyGothic"/>
                <w:rFonts w:ascii="Calibri" w:eastAsia="Arial" w:hAnsi="Calibri" w:cs="Calibri"/>
                <w:color w:val="FFFFFF"/>
                <w:sz w:val="48"/>
                <w:szCs w:val="48"/>
                <w:lang w:val="cs-CZ"/>
              </w:rPr>
            </w:pPr>
            <w:r w:rsidRPr="00775681">
              <w:rPr>
                <w:rStyle w:val="Zkladntext2CenturyGothic"/>
                <w:rFonts w:eastAsia="Arial"/>
                <w:color w:val="FFFFFF"/>
                <w:sz w:val="48"/>
                <w:lang w:val="cs-CZ"/>
              </w:rPr>
              <w:t>VYŘEŠTE SVÉ PROBLÉMY S MAZÁNÍM</w:t>
            </w:r>
          </w:p>
          <w:p w14:paraId="508A982B" w14:textId="6EE62620" w:rsidR="007E61C6" w:rsidRPr="00775681" w:rsidRDefault="007E61C6" w:rsidP="003571E4">
            <w:pPr>
              <w:pStyle w:val="Zkladntext20"/>
              <w:shd w:val="clear" w:color="auto" w:fill="auto"/>
              <w:spacing w:line="278" w:lineRule="exact"/>
              <w:ind w:left="189" w:right="172"/>
              <w:jc w:val="both"/>
            </w:pPr>
            <w:r w:rsidRPr="00775681">
              <w:rPr>
                <w:rStyle w:val="Zkladntext2CenturyGothic"/>
                <w:rFonts w:eastAsia="Arial"/>
                <w:sz w:val="24"/>
                <w:lang w:val="cs-CZ"/>
              </w:rPr>
              <w:t xml:space="preserve">Otestujeme váš olej s příslušným aditivem WS2, abychom vám sdělili relevantní informace o snížení vaší spotřeby paliva a opotřebení vašeho motoru! </w:t>
            </w:r>
          </w:p>
        </w:tc>
      </w:tr>
    </w:tbl>
    <w:p w14:paraId="456BB61E" w14:textId="77777777" w:rsidR="007E61C6" w:rsidRDefault="007E61C6" w:rsidP="00775681">
      <w:pPr>
        <w:pStyle w:val="Zkladntext20"/>
        <w:shd w:val="clear" w:color="auto" w:fill="auto"/>
        <w:spacing w:after="244"/>
        <w:ind w:left="160"/>
      </w:pPr>
    </w:p>
    <w:p w14:paraId="50366F65" w14:textId="77777777" w:rsidR="007E61C6" w:rsidRDefault="007E61C6" w:rsidP="00775681">
      <w:pPr>
        <w:pStyle w:val="Zkladntext20"/>
        <w:shd w:val="clear" w:color="auto" w:fill="auto"/>
        <w:spacing w:after="244"/>
        <w:ind w:left="160"/>
      </w:pPr>
      <w:r>
        <w:t>„Díky těmto výsledkům je zcela jasné, že by mělo být používání aditiv WS2 povinné pro všechny dopravce a u mnoha tisíc nákladních vozů pohybujících se každý den po těchto trasách, a to nehovoříme o větší šetrnosti k životnímu prostředí, protože WS2 snižuje i škodlivé emise.</w:t>
      </w:r>
    </w:p>
    <w:p w14:paraId="535C4F01" w14:textId="77777777" w:rsidR="007E61C6" w:rsidRDefault="007E61C6" w:rsidP="00775681">
      <w:pPr>
        <w:pStyle w:val="Zkladntext20"/>
        <w:shd w:val="clear" w:color="auto" w:fill="auto"/>
        <w:spacing w:after="240" w:line="288" w:lineRule="exact"/>
        <w:ind w:left="160"/>
      </w:pPr>
      <w:r>
        <w:t xml:space="preserve">WS2 je jedním z nejvíce </w:t>
      </w:r>
      <w:proofErr w:type="spellStart"/>
      <w:r>
        <w:t>mazivých</w:t>
      </w:r>
      <w:proofErr w:type="spellEnd"/>
      <w:r>
        <w:t xml:space="preserve"> materiálů, které věda zná, a jeho koeficient tření činí pouhých 0,03. Jeho </w:t>
      </w:r>
      <w:proofErr w:type="spellStart"/>
      <w:r>
        <w:t>mazivost</w:t>
      </w:r>
      <w:proofErr w:type="spellEnd"/>
      <w:r>
        <w:t xml:space="preserve"> za sucha překonává jakoukoli jinou látku.</w:t>
      </w:r>
    </w:p>
    <w:p w14:paraId="174FC6FC" w14:textId="77777777" w:rsidR="007E61C6" w:rsidRDefault="007E61C6" w:rsidP="00056880">
      <w:pPr>
        <w:pStyle w:val="Zkladntext20"/>
        <w:shd w:val="clear" w:color="auto" w:fill="auto"/>
        <w:spacing w:after="240" w:line="288" w:lineRule="exact"/>
        <w:ind w:left="160"/>
      </w:pPr>
      <w:r>
        <w:t xml:space="preserve">WS2 nabízí vynikající </w:t>
      </w:r>
      <w:proofErr w:type="spellStart"/>
      <w:r>
        <w:t>mazivost</w:t>
      </w:r>
      <w:proofErr w:type="spellEnd"/>
      <w:r>
        <w:t xml:space="preserve"> za extrémního zatížení a teploty a je prokázána jeho účinnost od -273 </w:t>
      </w:r>
      <w:proofErr w:type="spellStart"/>
      <w:r w:rsidRPr="00721060">
        <w:rPr>
          <w:vertAlign w:val="superscript"/>
        </w:rPr>
        <w:t>o</w:t>
      </w:r>
      <w:r>
        <w:t>C</w:t>
      </w:r>
      <w:proofErr w:type="spellEnd"/>
      <w:r>
        <w:t xml:space="preserve"> až do 650 </w:t>
      </w:r>
      <w:proofErr w:type="spellStart"/>
      <w:r w:rsidRPr="00721060">
        <w:rPr>
          <w:vertAlign w:val="superscript"/>
        </w:rPr>
        <w:t>o</w:t>
      </w:r>
      <w:r>
        <w:t>C</w:t>
      </w:r>
      <w:proofErr w:type="spellEnd"/>
      <w:r>
        <w:t xml:space="preserve">. Nabízí vynikající tepelnou stabilitu a odolnost proti oxidaci za vyšších teplot,“ říká Chris </w:t>
      </w:r>
      <w:proofErr w:type="spellStart"/>
      <w:r>
        <w:t>Adsett</w:t>
      </w:r>
      <w:proofErr w:type="spellEnd"/>
      <w:r>
        <w:t>.</w:t>
      </w:r>
    </w:p>
    <w:p w14:paraId="6B1ED7D6" w14:textId="77777777" w:rsidR="007E61C6" w:rsidRDefault="007E61C6">
      <w:pPr>
        <w:rPr>
          <w:sz w:val="2"/>
          <w:szCs w:val="2"/>
        </w:rPr>
      </w:pPr>
    </w:p>
    <w:sectPr w:rsidR="007E61C6" w:rsidSect="00775681">
      <w:headerReference w:type="default" r:id="rId9"/>
      <w:pgSz w:w="11900" w:h="16840"/>
      <w:pgMar w:top="720" w:right="720" w:bottom="720" w:left="720" w:header="426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BE64" w14:textId="77777777" w:rsidR="00F90D33" w:rsidRDefault="00F90D33">
      <w:r>
        <w:separator/>
      </w:r>
    </w:p>
  </w:endnote>
  <w:endnote w:type="continuationSeparator" w:id="0">
    <w:p w14:paraId="3D42262B" w14:textId="77777777" w:rsidR="00F90D33" w:rsidRDefault="00F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3DD1" w14:textId="77777777" w:rsidR="00F90D33" w:rsidRDefault="00F90D33"/>
  </w:footnote>
  <w:footnote w:type="continuationSeparator" w:id="0">
    <w:p w14:paraId="3686F3EE" w14:textId="77777777" w:rsidR="00F90D33" w:rsidRDefault="00F90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3B16" w14:textId="57E14B3C" w:rsidR="007E61C6" w:rsidRDefault="006F1CD0" w:rsidP="00775681">
    <w:pPr>
      <w:pStyle w:val="Hlavika"/>
      <w:jc w:val="right"/>
    </w:pPr>
    <w:r>
      <w:rPr>
        <w:noProof/>
        <w:lang w:eastAsia="cs-CZ"/>
      </w:rPr>
      <w:drawing>
        <wp:inline distT="0" distB="0" distL="0" distR="0" wp14:anchorId="45D491CE" wp14:editId="44CBC214">
          <wp:extent cx="2743200" cy="595630"/>
          <wp:effectExtent l="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69"/>
    <w:rsid w:val="00056880"/>
    <w:rsid w:val="000F79F8"/>
    <w:rsid w:val="00127A09"/>
    <w:rsid w:val="003571E4"/>
    <w:rsid w:val="005B0727"/>
    <w:rsid w:val="00624E1C"/>
    <w:rsid w:val="00677413"/>
    <w:rsid w:val="006C007A"/>
    <w:rsid w:val="006F1CD0"/>
    <w:rsid w:val="00721060"/>
    <w:rsid w:val="00775681"/>
    <w:rsid w:val="007E61C6"/>
    <w:rsid w:val="008276D6"/>
    <w:rsid w:val="008E4C99"/>
    <w:rsid w:val="00905469"/>
    <w:rsid w:val="009D416C"/>
    <w:rsid w:val="00B95F17"/>
    <w:rsid w:val="00BF014A"/>
    <w:rsid w:val="00E75D51"/>
    <w:rsid w:val="00EE4EA2"/>
    <w:rsid w:val="00F90D33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A4B40"/>
  <w15:docId w15:val="{FA415B6E-8536-47FA-BC4B-37AFFF35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7413"/>
    <w:pPr>
      <w:widowControl w:val="0"/>
    </w:pPr>
    <w:rPr>
      <w:color w:val="00000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77413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Predvolenpsmoodseku"/>
    <w:link w:val="Zkladntext20"/>
    <w:uiPriority w:val="99"/>
    <w:locked/>
    <w:rsid w:val="00677413"/>
    <w:rPr>
      <w:rFonts w:ascii="Calibri" w:eastAsia="Times New Roman" w:hAnsi="Calibri" w:cs="Calibri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uiPriority w:val="99"/>
    <w:locked/>
    <w:rsid w:val="00677413"/>
    <w:rPr>
      <w:rFonts w:ascii="Calibri" w:eastAsia="Times New Roman" w:hAnsi="Calibri" w:cs="Calibri"/>
      <w:b/>
      <w:bCs/>
      <w:sz w:val="28"/>
      <w:szCs w:val="28"/>
      <w:u w:val="none"/>
    </w:rPr>
  </w:style>
  <w:style w:type="character" w:customStyle="1" w:styleId="Titulekobrzku">
    <w:name w:val="Titulek obrázku_"/>
    <w:basedOn w:val="Predvolenpsmoodseku"/>
    <w:link w:val="Titulekobrzku1"/>
    <w:uiPriority w:val="99"/>
    <w:locked/>
    <w:rsid w:val="00677413"/>
    <w:rPr>
      <w:rFonts w:ascii="Calibri" w:eastAsia="Times New Roman" w:hAnsi="Calibri" w:cs="Calibri"/>
      <w:sz w:val="22"/>
      <w:szCs w:val="22"/>
      <w:u w:val="none"/>
    </w:rPr>
  </w:style>
  <w:style w:type="character" w:customStyle="1" w:styleId="Titulekobrzku0">
    <w:name w:val="Titulek obrázku"/>
    <w:basedOn w:val="Titulekobrzku"/>
    <w:uiPriority w:val="99"/>
    <w:rsid w:val="00677413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Zkladntext3">
    <w:name w:val="Základní text (3)_"/>
    <w:basedOn w:val="Predvolenpsmoodseku"/>
    <w:link w:val="Zkladntext31"/>
    <w:uiPriority w:val="99"/>
    <w:locked/>
    <w:rsid w:val="00677413"/>
    <w:rPr>
      <w:rFonts w:ascii="Calibri" w:eastAsia="Times New Roman" w:hAnsi="Calibri" w:cs="Calibri"/>
      <w:i/>
      <w:iCs/>
      <w:sz w:val="24"/>
      <w:szCs w:val="24"/>
      <w:u w:val="none"/>
    </w:rPr>
  </w:style>
  <w:style w:type="character" w:customStyle="1" w:styleId="Zkladntext30">
    <w:name w:val="Základní text (3)"/>
    <w:basedOn w:val="Zkladntext3"/>
    <w:uiPriority w:val="99"/>
    <w:rsid w:val="00677413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Zkladntext313pt">
    <w:name w:val="Základní text (3) + 13 pt"/>
    <w:aliases w:val="Ne kurzíva"/>
    <w:basedOn w:val="Zkladntext3"/>
    <w:uiPriority w:val="99"/>
    <w:rsid w:val="0067741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6"/>
      <w:szCs w:val="26"/>
      <w:u w:val="single"/>
      <w:lang w:val="en-US" w:eastAsia="en-US"/>
    </w:rPr>
  </w:style>
  <w:style w:type="character" w:customStyle="1" w:styleId="Zkladntext313pt1">
    <w:name w:val="Základní text (3) + 13 pt1"/>
    <w:aliases w:val="Ne kurzíva1"/>
    <w:basedOn w:val="Zkladntext3"/>
    <w:uiPriority w:val="99"/>
    <w:rsid w:val="00677413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Zkladntext32">
    <w:name w:val="Základní text (3)2"/>
    <w:basedOn w:val="Zkladntext3"/>
    <w:uiPriority w:val="99"/>
    <w:rsid w:val="00677413"/>
    <w:rPr>
      <w:rFonts w:ascii="Calibri" w:eastAsia="Times New Roman" w:hAnsi="Calibri" w:cs="Calibri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Zkladntext2CenturyGothic">
    <w:name w:val="Základní text (2) + Century Gothic"/>
    <w:aliases w:val="11 pt,Tučné"/>
    <w:basedOn w:val="Zkladntext2"/>
    <w:uiPriority w:val="99"/>
    <w:rsid w:val="00677413"/>
    <w:rPr>
      <w:rFonts w:ascii="Century Gothic" w:eastAsia="Times New Roman" w:hAnsi="Century Gothic" w:cs="Century Gothic"/>
      <w:b/>
      <w:bC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paragraph" w:customStyle="1" w:styleId="Zkladntext20">
    <w:name w:val="Základní text (2)"/>
    <w:basedOn w:val="Normlny"/>
    <w:link w:val="Zkladntext2"/>
    <w:uiPriority w:val="99"/>
    <w:rsid w:val="00677413"/>
    <w:pPr>
      <w:shd w:val="clear" w:color="auto" w:fill="FFFFFF"/>
      <w:spacing w:line="293" w:lineRule="exact"/>
    </w:pPr>
    <w:rPr>
      <w:rFonts w:ascii="Calibri" w:hAnsi="Calibri" w:cs="Calibri"/>
    </w:rPr>
  </w:style>
  <w:style w:type="paragraph" w:customStyle="1" w:styleId="Nadpis20">
    <w:name w:val="Nadpis #2"/>
    <w:basedOn w:val="Normlny"/>
    <w:link w:val="Nadpis2"/>
    <w:uiPriority w:val="99"/>
    <w:rsid w:val="00677413"/>
    <w:pPr>
      <w:shd w:val="clear" w:color="auto" w:fill="FFFFFF"/>
      <w:spacing w:after="360" w:line="240" w:lineRule="atLeast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paragraph" w:customStyle="1" w:styleId="Titulekobrzku1">
    <w:name w:val="Titulek obrázku1"/>
    <w:basedOn w:val="Normlny"/>
    <w:link w:val="Titulekobrzku"/>
    <w:uiPriority w:val="99"/>
    <w:rsid w:val="00677413"/>
    <w:pPr>
      <w:shd w:val="clear" w:color="auto" w:fill="FFFFFF"/>
      <w:spacing w:line="235" w:lineRule="exact"/>
      <w:jc w:val="center"/>
    </w:pPr>
    <w:rPr>
      <w:rFonts w:ascii="Calibri" w:hAnsi="Calibri" w:cs="Calibri"/>
      <w:sz w:val="22"/>
      <w:szCs w:val="22"/>
    </w:rPr>
  </w:style>
  <w:style w:type="paragraph" w:customStyle="1" w:styleId="Zkladntext31">
    <w:name w:val="Základní text (3)1"/>
    <w:basedOn w:val="Normlny"/>
    <w:link w:val="Zkladntext3"/>
    <w:uiPriority w:val="99"/>
    <w:rsid w:val="00677413"/>
    <w:pPr>
      <w:shd w:val="clear" w:color="auto" w:fill="FFFFFF"/>
      <w:spacing w:before="300" w:line="288" w:lineRule="exact"/>
    </w:pPr>
    <w:rPr>
      <w:rFonts w:ascii="Calibri" w:hAnsi="Calibri" w:cs="Calibri"/>
      <w:i/>
      <w:iCs/>
    </w:rPr>
  </w:style>
  <w:style w:type="paragraph" w:styleId="Hlavika">
    <w:name w:val="header"/>
    <w:basedOn w:val="Normlny"/>
    <w:link w:val="HlavikaChar"/>
    <w:uiPriority w:val="99"/>
    <w:rsid w:val="007756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75681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rsid w:val="007756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5681"/>
    <w:rPr>
      <w:rFonts w:cs="Times New Roman"/>
      <w:color w:val="000000"/>
    </w:rPr>
  </w:style>
  <w:style w:type="paragraph" w:styleId="Bezriadkovania">
    <w:name w:val="No Spacing"/>
    <w:uiPriority w:val="99"/>
    <w:qFormat/>
    <w:rsid w:val="00775681"/>
    <w:pPr>
      <w:widowControl w:val="0"/>
    </w:pPr>
    <w:rPr>
      <w:color w:val="000000"/>
      <w:sz w:val="24"/>
      <w:szCs w:val="24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rsid w:val="00775681"/>
    <w:rPr>
      <w:rFonts w:cs="Times New Roman"/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rsid w:val="00127A0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27A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4FB7"/>
    <w:rPr>
      <w:color w:val="000000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27A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4FB7"/>
    <w:rPr>
      <w:b/>
      <w:bCs/>
      <w:color w:val="000000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27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FB7"/>
    <w:rPr>
      <w:rFonts w:ascii="Times New Roman" w:hAnsi="Times New Roman"/>
      <w:color w:val="000000"/>
      <w:sz w:val="0"/>
      <w:szCs w:val="0"/>
      <w:lang w:eastAsia="en-US"/>
    </w:rPr>
  </w:style>
  <w:style w:type="character" w:styleId="Zvraznenie">
    <w:name w:val="Emphasis"/>
    <w:basedOn w:val="Predvolenpsmoodseku"/>
    <w:uiPriority w:val="99"/>
    <w:qFormat/>
    <w:locked/>
    <w:rsid w:val="00127A0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15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radek</dc:creator>
  <cp:keywords/>
  <dc:description/>
  <cp:lastModifiedBy>BONUSKO 15</cp:lastModifiedBy>
  <cp:revision>2</cp:revision>
  <cp:lastPrinted>2019-03-23T13:15:00Z</cp:lastPrinted>
  <dcterms:created xsi:type="dcterms:W3CDTF">2019-03-23T13:15:00Z</dcterms:created>
  <dcterms:modified xsi:type="dcterms:W3CDTF">2019-03-23T13:15:00Z</dcterms:modified>
</cp:coreProperties>
</file>